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r w:rsidR="00FD0289">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Pr="00651767">
        <w:rPr>
          <w:b/>
          <w:sz w:val="20"/>
        </w:rPr>
        <w:t xml:space="preserve"> </w:t>
      </w:r>
      <w:r w:rsidR="00653816">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322106" w:rsidP="00322106">
      <w:pPr>
        <w:pStyle w:val="NoSpacing"/>
        <w:rPr>
          <w:b/>
          <w:sz w:val="20"/>
        </w:rPr>
      </w:pPr>
      <w:r>
        <w:rPr>
          <w:b/>
          <w:sz w:val="20"/>
        </w:rPr>
        <w:t>Superintending</w:t>
      </w:r>
      <w:r w:rsidRPr="00651767">
        <w:rPr>
          <w:b/>
          <w:sz w:val="20"/>
        </w:rPr>
        <w:t xml:space="preserve"> Engineer                                                                                          </w:t>
      </w:r>
      <w:r w:rsidR="00653816">
        <w:rPr>
          <w:b/>
          <w:sz w:val="20"/>
        </w:rPr>
        <w:tab/>
      </w:r>
      <w:r w:rsidRPr="00651767">
        <w:rPr>
          <w:b/>
          <w:sz w:val="20"/>
        </w:rPr>
        <w:t xml:space="preserve"> </w:t>
      </w:r>
      <w:r w:rsidR="00653816">
        <w:rPr>
          <w:b/>
          <w:sz w:val="20"/>
        </w:rPr>
        <w:tab/>
      </w:r>
      <w:r w:rsidRPr="00651767">
        <w:rPr>
          <w:b/>
          <w:sz w:val="20"/>
        </w:rPr>
        <w:t xml:space="preserve"> </w:t>
      </w:r>
      <w:r>
        <w:rPr>
          <w:rFonts w:ascii="Kruti Dev 010" w:hAnsi="Kruti Dev 010"/>
          <w:b/>
          <w:sz w:val="20"/>
        </w:rPr>
        <w:t>v/</w:t>
      </w:r>
      <w:proofErr w:type="spellStart"/>
      <w:proofErr w:type="gramStart"/>
      <w:r>
        <w:rPr>
          <w:rFonts w:ascii="Kruti Dev 010" w:hAnsi="Kruti Dev 010"/>
          <w:b/>
          <w:sz w:val="20"/>
        </w:rPr>
        <w:t>kh</w:t>
      </w:r>
      <w:proofErr w:type="spellEnd"/>
      <w:r>
        <w:rPr>
          <w:rFonts w:ascii="Kruti Dev 010" w:hAnsi="Kruti Dev 010"/>
          <w:b/>
          <w:sz w:val="20"/>
        </w:rPr>
        <w:t>{</w:t>
      </w:r>
      <w:proofErr w:type="spellStart"/>
      <w:proofErr w:type="gramEnd"/>
      <w:r>
        <w:rPr>
          <w:rFonts w:ascii="Kruti Dev 010" w:hAnsi="Kruti Dev 010"/>
          <w:b/>
          <w:sz w:val="20"/>
        </w:rPr>
        <w:t>k.k</w:t>
      </w:r>
      <w:proofErr w:type="spellEnd"/>
      <w:r>
        <w:rPr>
          <w:rFonts w:ascii="Kruti Dev 010" w:hAnsi="Kruti Dev 010"/>
          <w:b/>
          <w:sz w:val="20"/>
        </w:rPr>
        <w:t xml:space="preserve"> </w:t>
      </w:r>
      <w:proofErr w:type="spellStart"/>
      <w:r w:rsidRPr="00651767">
        <w:rPr>
          <w:rFonts w:ascii="Kruti Dev 010" w:hAnsi="Kruti Dev 010"/>
          <w:b/>
          <w:sz w:val="20"/>
        </w:rPr>
        <w:t>vfHk;Urk</w:t>
      </w:r>
      <w:proofErr w:type="spellEnd"/>
      <w:r w:rsidRPr="00651767">
        <w:rPr>
          <w:rFonts w:ascii="Kruti Dev 010" w:hAnsi="Kruti Dev 010"/>
          <w:b/>
          <w:sz w:val="20"/>
        </w:rPr>
        <w:t xml:space="preserve">     </w:t>
      </w:r>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e.My</w:t>
      </w:r>
      <w:proofErr w:type="spellEnd"/>
    </w:p>
    <w:p w:rsidR="00322106" w:rsidRPr="00651767" w:rsidRDefault="00322106" w:rsidP="00322106">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sidR="00653816">
        <w:rPr>
          <w:b/>
          <w:sz w:val="20"/>
        </w:rPr>
        <w:tab/>
      </w:r>
      <w:r w:rsidR="00653816">
        <w:rPr>
          <w:b/>
          <w:sz w:val="20"/>
        </w:rPr>
        <w:tab/>
      </w:r>
      <w:r w:rsidRPr="00651767">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sidR="00653816">
        <w:rPr>
          <w:rFonts w:cs="Calibri"/>
          <w:b/>
          <w:sz w:val="20"/>
        </w:rPr>
        <w:tab/>
      </w:r>
      <w:r w:rsidR="00653816">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t xml:space="preserve"> </w:t>
      </w:r>
      <w:proofErr w:type="spellStart"/>
      <w:r w:rsidRPr="00651767">
        <w:rPr>
          <w:rFonts w:ascii="Kruti Dev 010" w:hAnsi="Kruti Dev 010"/>
          <w:b/>
        </w:rPr>
        <w:t>xkft</w:t>
      </w:r>
      <w:proofErr w:type="gramStart"/>
      <w:r w:rsidRPr="00651767">
        <w:rPr>
          <w:rFonts w:ascii="Kruti Dev 010" w:hAnsi="Kruti Dev 010"/>
          <w:b/>
        </w:rPr>
        <w:t>;kckn</w:t>
      </w:r>
      <w:proofErr w:type="spellEnd"/>
      <w:proofErr w:type="gram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s</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&amp;&amp;&amp;&amp;&amp;&amp;</w:t>
      </w:r>
    </w:p>
    <w:tbl>
      <w:tblPr>
        <w:tblW w:w="11242" w:type="dxa"/>
        <w:tblInd w:w="-318" w:type="dxa"/>
        <w:tblLayout w:type="fixed"/>
        <w:tblLook w:val="04A0" w:firstRow="1" w:lastRow="0" w:firstColumn="1" w:lastColumn="0" w:noHBand="0" w:noVBand="1"/>
      </w:tblPr>
      <w:tblGrid>
        <w:gridCol w:w="1156"/>
        <w:gridCol w:w="5651"/>
        <w:gridCol w:w="1195"/>
        <w:gridCol w:w="1349"/>
        <w:gridCol w:w="1891"/>
      </w:tblGrid>
      <w:tr w:rsidR="007B5B0E" w:rsidRPr="006430C6" w:rsidTr="00F3702F">
        <w:trPr>
          <w:trHeight w:val="56"/>
        </w:trPr>
        <w:tc>
          <w:tcPr>
            <w:tcW w:w="11242" w:type="dxa"/>
            <w:gridSpan w:val="5"/>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F3702F">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51" w:type="dxa"/>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4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F3702F">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49"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A47D3B">
        <w:trPr>
          <w:trHeight w:val="525"/>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51" w:type="dxa"/>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CF3D04" w:rsidP="00F3702F">
            <w:pPr>
              <w:spacing w:after="0" w:line="240" w:lineRule="auto"/>
              <w:jc w:val="both"/>
              <w:rPr>
                <w:rFonts w:asciiTheme="majorHAnsi" w:hAnsiTheme="majorHAnsi"/>
                <w:b/>
                <w:bCs/>
              </w:rPr>
            </w:pPr>
            <w:r w:rsidRPr="00CF3D04">
              <w:rPr>
                <w:rFonts w:cs="Arial"/>
                <w:b/>
                <w:bCs/>
                <w:sz w:val="20"/>
                <w:szCs w:val="20"/>
              </w:rPr>
              <w:t>Repair and Painting of Office of the Superintending Engineer, EUDC-II, Sec.-18 Noida.</w:t>
            </w:r>
          </w:p>
        </w:tc>
        <w:tc>
          <w:tcPr>
            <w:tcW w:w="119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349"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CF3D04"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B12F3B" w:rsidP="00B12F3B">
            <w:pPr>
              <w:jc w:val="center"/>
              <w:rPr>
                <w:b/>
                <w:bCs/>
                <w:color w:val="FF0000"/>
                <w:sz w:val="28"/>
                <w:szCs w:val="28"/>
              </w:rPr>
            </w:pPr>
            <w:r>
              <w:rPr>
                <w:b/>
                <w:bCs/>
                <w:color w:val="FF0000"/>
                <w:sz w:val="24"/>
                <w:szCs w:val="28"/>
              </w:rPr>
              <w:t>2</w:t>
            </w:r>
            <w:r w:rsidR="00BC666F" w:rsidRPr="00BC666F">
              <w:rPr>
                <w:b/>
                <w:bCs/>
                <w:color w:val="FF0000"/>
                <w:sz w:val="24"/>
                <w:szCs w:val="28"/>
              </w:rPr>
              <w:t>,</w:t>
            </w:r>
            <w:r>
              <w:rPr>
                <w:b/>
                <w:bCs/>
                <w:color w:val="FF0000"/>
                <w:sz w:val="24"/>
                <w:szCs w:val="28"/>
              </w:rPr>
              <w:t>22</w:t>
            </w:r>
            <w:r w:rsidR="00BC666F" w:rsidRPr="00BC666F">
              <w:rPr>
                <w:b/>
                <w:bCs/>
                <w:color w:val="FF0000"/>
                <w:sz w:val="24"/>
                <w:szCs w:val="28"/>
              </w:rPr>
              <w:t>,</w:t>
            </w:r>
            <w:r>
              <w:rPr>
                <w:b/>
                <w:bCs/>
                <w:color w:val="FF0000"/>
                <w:sz w:val="24"/>
                <w:szCs w:val="28"/>
              </w:rPr>
              <w:t>849</w:t>
            </w:r>
            <w:r w:rsidR="00BC666F" w:rsidRPr="00BC666F">
              <w:rPr>
                <w:b/>
                <w:bCs/>
                <w:color w:val="FF0000"/>
                <w:sz w:val="24"/>
                <w:szCs w:val="28"/>
              </w:rPr>
              <w:t>.</w:t>
            </w:r>
            <w:r>
              <w:rPr>
                <w:b/>
                <w:bCs/>
                <w:color w:val="FF0000"/>
                <w:sz w:val="24"/>
                <w:szCs w:val="28"/>
              </w:rPr>
              <w:t>39</w:t>
            </w:r>
          </w:p>
        </w:tc>
      </w:tr>
      <w:tr w:rsidR="007B5B0E" w:rsidRPr="006430C6" w:rsidTr="00F3702F">
        <w:trPr>
          <w:trHeight w:val="49"/>
        </w:trPr>
        <w:tc>
          <w:tcPr>
            <w:tcW w:w="6807" w:type="dxa"/>
            <w:gridSpan w:val="2"/>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CF3D04">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CF3D04">
              <w:rPr>
                <w:rFonts w:ascii="Times New Roman" w:eastAsia="Times New Roman" w:hAnsi="Times New Roman" w:cs="Times New Roman"/>
                <w:color w:val="000000"/>
              </w:rPr>
              <w:t>49</w:t>
            </w:r>
          </w:p>
        </w:tc>
        <w:tc>
          <w:tcPr>
            <w:tcW w:w="119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349"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B12F3B">
            <w:pPr>
              <w:spacing w:after="0" w:line="240" w:lineRule="auto"/>
            </w:pPr>
            <w:r w:rsidRPr="006430C6">
              <w:rPr>
                <w:rFonts w:ascii="Times New Roman" w:eastAsia="Times New Roman" w:hAnsi="Times New Roman" w:cs="Times New Roman"/>
                <w:b/>
                <w:bCs/>
                <w:color w:val="000000"/>
                <w:sz w:val="20"/>
              </w:rPr>
              <w:t>Amount in Words:-</w:t>
            </w:r>
            <w:r w:rsidR="00BC666F">
              <w:t>(</w:t>
            </w:r>
            <w:proofErr w:type="spellStart"/>
            <w:r w:rsidR="00BC666F">
              <w:t>Rs</w:t>
            </w:r>
            <w:proofErr w:type="spellEnd"/>
            <w:r w:rsidR="00BC666F">
              <w:t xml:space="preserve"> </w:t>
            </w:r>
            <w:r w:rsidR="00B12F3B">
              <w:t>Two</w:t>
            </w:r>
            <w:r w:rsidR="004D0F6C">
              <w:t xml:space="preserve"> </w:t>
            </w:r>
            <w:proofErr w:type="spellStart"/>
            <w:r w:rsidR="00BC666F">
              <w:t>Lacs</w:t>
            </w:r>
            <w:proofErr w:type="spellEnd"/>
            <w:r w:rsidR="00BC666F">
              <w:t xml:space="preserve"> </w:t>
            </w:r>
            <w:r w:rsidR="00B12F3B">
              <w:t>Twenty Two</w:t>
            </w:r>
            <w:r w:rsidR="00DB6E5E">
              <w:t xml:space="preserve"> </w:t>
            </w:r>
            <w:r w:rsidR="00BC666F">
              <w:t xml:space="preserve">Thousand </w:t>
            </w:r>
            <w:r w:rsidR="00B12F3B">
              <w:t>Eight</w:t>
            </w:r>
            <w:r w:rsidR="007D6C85">
              <w:t xml:space="preserve"> </w:t>
            </w:r>
            <w:r w:rsidR="00BC666F">
              <w:t xml:space="preserve">Hundred </w:t>
            </w:r>
            <w:r w:rsidR="00B12F3B">
              <w:t>Forty Nine</w:t>
            </w:r>
            <w:r w:rsidR="00BC666F">
              <w:t xml:space="preserve"> and </w:t>
            </w:r>
            <w:r w:rsidR="004D0F6C">
              <w:t>Paisa</w:t>
            </w:r>
            <w:r w:rsidR="00BC666F">
              <w:t xml:space="preserve"> </w:t>
            </w:r>
            <w:r w:rsidR="00B12F3B">
              <w:t>Thirty Nine</w:t>
            </w:r>
            <w:r w:rsidR="00552441">
              <w:t xml:space="preserve">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Which shall be released after six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5"/>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5"/>
            <w:shd w:val="clear" w:color="auto" w:fill="auto"/>
            <w:hideMark/>
          </w:tcPr>
          <w:p w:rsidR="007B5B0E" w:rsidRPr="00DE5936" w:rsidRDefault="007B5B0E" w:rsidP="005335DA">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335DA">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5"/>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w:t>
            </w:r>
            <w:proofErr w:type="spellStart"/>
            <w:r w:rsidRPr="00F3702F">
              <w:rPr>
                <w:rFonts w:ascii="Times New Roman" w:eastAsia="Times New Roman" w:hAnsi="Times New Roman" w:cs="Times New Roman"/>
                <w:color w:val="000000"/>
                <w:sz w:val="19"/>
                <w:szCs w:val="19"/>
              </w:rPr>
              <w:t>Rs</w:t>
            </w:r>
            <w:proofErr w:type="spellEnd"/>
            <w:r w:rsidRPr="00F3702F">
              <w:rPr>
                <w:rFonts w:ascii="Times New Roman" w:eastAsia="Times New Roman" w:hAnsi="Times New Roman" w:cs="Times New Roman"/>
                <w:color w:val="000000"/>
                <w:sz w:val="19"/>
                <w:szCs w:val="19"/>
              </w:rPr>
              <w:t xml:space="preserve">.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F47F21"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E33A4B"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E33A4B"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Superintending Engineer.</w:t>
            </w:r>
          </w:p>
          <w:p w:rsidR="00E33A4B" w:rsidRPr="00DE5936" w:rsidRDefault="00E33A4B"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Pr="00DE5936">
              <w:rPr>
                <w:rFonts w:ascii="Times New Roman" w:hAnsi="Times New Roman" w:cs="Times New Roman"/>
                <w:b/>
                <w:sz w:val="19"/>
                <w:szCs w:val="19"/>
              </w:rPr>
              <w:t>E.C.D.C., Ghaziabad</w:t>
            </w:r>
          </w:p>
          <w:p w:rsidR="00E33A4B" w:rsidRPr="00DE5936" w:rsidRDefault="00653816" w:rsidP="00E33A4B">
            <w:pPr>
              <w:pStyle w:val="ListParagraph"/>
              <w:spacing w:after="0"/>
              <w:ind w:left="630"/>
              <w:jc w:val="center"/>
              <w:rPr>
                <w:rFonts w:ascii="Times New Roman" w:eastAsia="Times New Roman" w:hAnsi="Times New Roman" w:cs="Times New Roman"/>
                <w:color w:val="000000"/>
                <w:sz w:val="19"/>
                <w:szCs w:val="19"/>
              </w:rPr>
            </w:pPr>
            <w:r w:rsidRPr="00DE5936">
              <w:rPr>
                <w:rFonts w:ascii="Times New Roman" w:hAnsi="Times New Roman" w:cs="Times New Roman"/>
                <w:b/>
                <w:sz w:val="19"/>
                <w:szCs w:val="19"/>
              </w:rPr>
              <w:t xml:space="preserve">                                                                                                                                       </w:t>
            </w: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F47F21">
      <w:pgSz w:w="11907" w:h="16839" w:code="9"/>
      <w:pgMar w:top="284" w:right="477"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C0124"/>
    <w:rsid w:val="000C1520"/>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62DA6"/>
    <w:rsid w:val="001A2773"/>
    <w:rsid w:val="001B7F5E"/>
    <w:rsid w:val="001C4FE5"/>
    <w:rsid w:val="001D24CE"/>
    <w:rsid w:val="001D5AF2"/>
    <w:rsid w:val="001D61F9"/>
    <w:rsid w:val="001E3561"/>
    <w:rsid w:val="001F464D"/>
    <w:rsid w:val="00200275"/>
    <w:rsid w:val="00213F06"/>
    <w:rsid w:val="00232FCC"/>
    <w:rsid w:val="00235BC3"/>
    <w:rsid w:val="002403FB"/>
    <w:rsid w:val="002407C0"/>
    <w:rsid w:val="002411D0"/>
    <w:rsid w:val="002413AD"/>
    <w:rsid w:val="0024691D"/>
    <w:rsid w:val="002637B7"/>
    <w:rsid w:val="00265D99"/>
    <w:rsid w:val="00281B8B"/>
    <w:rsid w:val="00281B96"/>
    <w:rsid w:val="002831ED"/>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43927"/>
    <w:rsid w:val="00346C92"/>
    <w:rsid w:val="0035244A"/>
    <w:rsid w:val="00362E56"/>
    <w:rsid w:val="00362ED2"/>
    <w:rsid w:val="003713DA"/>
    <w:rsid w:val="003714F4"/>
    <w:rsid w:val="00376F2D"/>
    <w:rsid w:val="00387840"/>
    <w:rsid w:val="00395E81"/>
    <w:rsid w:val="003A5ACC"/>
    <w:rsid w:val="003B3671"/>
    <w:rsid w:val="003C6833"/>
    <w:rsid w:val="003D320A"/>
    <w:rsid w:val="003D75ED"/>
    <w:rsid w:val="003E65DF"/>
    <w:rsid w:val="003F6DCA"/>
    <w:rsid w:val="003F7BDB"/>
    <w:rsid w:val="004376F8"/>
    <w:rsid w:val="00442A9D"/>
    <w:rsid w:val="004473BD"/>
    <w:rsid w:val="00447FAB"/>
    <w:rsid w:val="004501B7"/>
    <w:rsid w:val="0045489F"/>
    <w:rsid w:val="0045581E"/>
    <w:rsid w:val="00457A18"/>
    <w:rsid w:val="00477DCC"/>
    <w:rsid w:val="004808B0"/>
    <w:rsid w:val="004B529B"/>
    <w:rsid w:val="004C1D23"/>
    <w:rsid w:val="004C25C5"/>
    <w:rsid w:val="004C27DA"/>
    <w:rsid w:val="004C2CF1"/>
    <w:rsid w:val="004C6374"/>
    <w:rsid w:val="004D0F6C"/>
    <w:rsid w:val="004D5390"/>
    <w:rsid w:val="004E4F3B"/>
    <w:rsid w:val="004E6415"/>
    <w:rsid w:val="004F32C2"/>
    <w:rsid w:val="005023C9"/>
    <w:rsid w:val="00510073"/>
    <w:rsid w:val="00513FA7"/>
    <w:rsid w:val="0051502A"/>
    <w:rsid w:val="0051505C"/>
    <w:rsid w:val="00527265"/>
    <w:rsid w:val="005335DA"/>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1CCB"/>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4E5A"/>
    <w:rsid w:val="006D66BE"/>
    <w:rsid w:val="006E17FB"/>
    <w:rsid w:val="006F02AA"/>
    <w:rsid w:val="00715F6A"/>
    <w:rsid w:val="00716749"/>
    <w:rsid w:val="0072178D"/>
    <w:rsid w:val="00723FB7"/>
    <w:rsid w:val="007253DE"/>
    <w:rsid w:val="00726EE1"/>
    <w:rsid w:val="00731696"/>
    <w:rsid w:val="00731737"/>
    <w:rsid w:val="00731C88"/>
    <w:rsid w:val="0073334D"/>
    <w:rsid w:val="0074223A"/>
    <w:rsid w:val="0074670E"/>
    <w:rsid w:val="00751018"/>
    <w:rsid w:val="00757990"/>
    <w:rsid w:val="00761E65"/>
    <w:rsid w:val="00774734"/>
    <w:rsid w:val="00774E2E"/>
    <w:rsid w:val="00790CA9"/>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97B24"/>
    <w:rsid w:val="008A22DA"/>
    <w:rsid w:val="008B15FB"/>
    <w:rsid w:val="008B5B79"/>
    <w:rsid w:val="008B71C0"/>
    <w:rsid w:val="008C2B22"/>
    <w:rsid w:val="008C76CF"/>
    <w:rsid w:val="008D1ACD"/>
    <w:rsid w:val="008D36C1"/>
    <w:rsid w:val="008D603D"/>
    <w:rsid w:val="008E7690"/>
    <w:rsid w:val="008F38F6"/>
    <w:rsid w:val="00906306"/>
    <w:rsid w:val="00916B6E"/>
    <w:rsid w:val="00920D89"/>
    <w:rsid w:val="00921E2B"/>
    <w:rsid w:val="00931460"/>
    <w:rsid w:val="009752BB"/>
    <w:rsid w:val="0098039F"/>
    <w:rsid w:val="009942F4"/>
    <w:rsid w:val="009A0B48"/>
    <w:rsid w:val="009C7E87"/>
    <w:rsid w:val="009D29AF"/>
    <w:rsid w:val="009E2E7A"/>
    <w:rsid w:val="009E365E"/>
    <w:rsid w:val="009F7624"/>
    <w:rsid w:val="00A06203"/>
    <w:rsid w:val="00A24077"/>
    <w:rsid w:val="00A244AD"/>
    <w:rsid w:val="00A461F0"/>
    <w:rsid w:val="00A46795"/>
    <w:rsid w:val="00A47D3B"/>
    <w:rsid w:val="00A657CA"/>
    <w:rsid w:val="00A65951"/>
    <w:rsid w:val="00A70230"/>
    <w:rsid w:val="00A72D18"/>
    <w:rsid w:val="00A775FE"/>
    <w:rsid w:val="00A84475"/>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12F3B"/>
    <w:rsid w:val="00B21621"/>
    <w:rsid w:val="00B22544"/>
    <w:rsid w:val="00B3012D"/>
    <w:rsid w:val="00B40511"/>
    <w:rsid w:val="00B41710"/>
    <w:rsid w:val="00B4738C"/>
    <w:rsid w:val="00B51317"/>
    <w:rsid w:val="00B56A6B"/>
    <w:rsid w:val="00B56E1F"/>
    <w:rsid w:val="00B60D94"/>
    <w:rsid w:val="00B62410"/>
    <w:rsid w:val="00B638B7"/>
    <w:rsid w:val="00B64F86"/>
    <w:rsid w:val="00B71BF3"/>
    <w:rsid w:val="00B77DE2"/>
    <w:rsid w:val="00B952C9"/>
    <w:rsid w:val="00BA5944"/>
    <w:rsid w:val="00BC666F"/>
    <w:rsid w:val="00BC7F6E"/>
    <w:rsid w:val="00BD2905"/>
    <w:rsid w:val="00BE2490"/>
    <w:rsid w:val="00BE50E8"/>
    <w:rsid w:val="00BF4D3E"/>
    <w:rsid w:val="00BF6327"/>
    <w:rsid w:val="00BF7237"/>
    <w:rsid w:val="00C12D92"/>
    <w:rsid w:val="00C3025E"/>
    <w:rsid w:val="00C33EC2"/>
    <w:rsid w:val="00C407B1"/>
    <w:rsid w:val="00C44266"/>
    <w:rsid w:val="00C4515D"/>
    <w:rsid w:val="00C45C12"/>
    <w:rsid w:val="00C4626C"/>
    <w:rsid w:val="00C52FDC"/>
    <w:rsid w:val="00C53F42"/>
    <w:rsid w:val="00C5608C"/>
    <w:rsid w:val="00C57E07"/>
    <w:rsid w:val="00C622CC"/>
    <w:rsid w:val="00C63C3B"/>
    <w:rsid w:val="00C63ED0"/>
    <w:rsid w:val="00C6423B"/>
    <w:rsid w:val="00C66D67"/>
    <w:rsid w:val="00C85C16"/>
    <w:rsid w:val="00C94CA4"/>
    <w:rsid w:val="00CA1076"/>
    <w:rsid w:val="00CA23D2"/>
    <w:rsid w:val="00CA7A0A"/>
    <w:rsid w:val="00CB5D35"/>
    <w:rsid w:val="00CC214E"/>
    <w:rsid w:val="00CC30B3"/>
    <w:rsid w:val="00CC3326"/>
    <w:rsid w:val="00CC57C5"/>
    <w:rsid w:val="00CE268B"/>
    <w:rsid w:val="00CE32FC"/>
    <w:rsid w:val="00CF3D04"/>
    <w:rsid w:val="00D15466"/>
    <w:rsid w:val="00D2161B"/>
    <w:rsid w:val="00D220E3"/>
    <w:rsid w:val="00D24248"/>
    <w:rsid w:val="00D2446B"/>
    <w:rsid w:val="00D27EBF"/>
    <w:rsid w:val="00D40EE5"/>
    <w:rsid w:val="00D4113B"/>
    <w:rsid w:val="00D44EFF"/>
    <w:rsid w:val="00D50A73"/>
    <w:rsid w:val="00D5429D"/>
    <w:rsid w:val="00D549E5"/>
    <w:rsid w:val="00D6265A"/>
    <w:rsid w:val="00D63FA6"/>
    <w:rsid w:val="00D64597"/>
    <w:rsid w:val="00D738B7"/>
    <w:rsid w:val="00D74849"/>
    <w:rsid w:val="00D86F8B"/>
    <w:rsid w:val="00D87CE6"/>
    <w:rsid w:val="00D93C73"/>
    <w:rsid w:val="00DA5613"/>
    <w:rsid w:val="00DB0039"/>
    <w:rsid w:val="00DB56AF"/>
    <w:rsid w:val="00DB6E5E"/>
    <w:rsid w:val="00DB7FA7"/>
    <w:rsid w:val="00DC6462"/>
    <w:rsid w:val="00DD20AF"/>
    <w:rsid w:val="00DE10B9"/>
    <w:rsid w:val="00DE1FC0"/>
    <w:rsid w:val="00DE3C22"/>
    <w:rsid w:val="00DE5936"/>
    <w:rsid w:val="00E00CE9"/>
    <w:rsid w:val="00E256A3"/>
    <w:rsid w:val="00E27DDE"/>
    <w:rsid w:val="00E33A4B"/>
    <w:rsid w:val="00E428CE"/>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20F5B"/>
    <w:rsid w:val="00F2457F"/>
    <w:rsid w:val="00F25427"/>
    <w:rsid w:val="00F2594B"/>
    <w:rsid w:val="00F3702F"/>
    <w:rsid w:val="00F41867"/>
    <w:rsid w:val="00F42010"/>
    <w:rsid w:val="00F422F0"/>
    <w:rsid w:val="00F45084"/>
    <w:rsid w:val="00F47F21"/>
    <w:rsid w:val="00F55E6A"/>
    <w:rsid w:val="00F577F3"/>
    <w:rsid w:val="00F61A3A"/>
    <w:rsid w:val="00F66F95"/>
    <w:rsid w:val="00F80BDB"/>
    <w:rsid w:val="00F81A33"/>
    <w:rsid w:val="00F81AB4"/>
    <w:rsid w:val="00F9715D"/>
    <w:rsid w:val="00FA4CB7"/>
    <w:rsid w:val="00FB2954"/>
    <w:rsid w:val="00FB3F05"/>
    <w:rsid w:val="00FC16C0"/>
    <w:rsid w:val="00FD0289"/>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4294967277</TotalTime>
  <Pages>1</Pages>
  <Words>800</Words>
  <Characters>4565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43</cp:revision>
  <cp:lastPrinted>2022-11-10T10:22:00Z</cp:lastPrinted>
  <dcterms:created xsi:type="dcterms:W3CDTF">2021-12-30T08:19:00Z</dcterms:created>
  <dcterms:modified xsi:type="dcterms:W3CDTF">2022-11-10T10:22:00Z</dcterms:modified>
</cp:coreProperties>
</file>